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settings.xml" ContentType="application/vnd.openxmlformats-officedocument.wordprocessingml.setting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media/image47.png" ContentType="image/png"/>
  <Override PartName="/word/media/image46.jpeg" ContentType="image/jpe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38.png" ContentType="image/png"/>
  <Override PartName="/word/media/image41.png" ContentType="image/png"/>
  <Override PartName="/word/media/image37.png" ContentType="image/png"/>
  <Override PartName="/word/media/image40.png" ContentType="image/png"/>
  <Override PartName="/word/media/image36.png" ContentType="image/png"/>
  <Override PartName="/word/media/image39.png" ContentType="image/png"/>
  <Override PartName="/word/media/image35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center"/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  <w:t>GUIA DE TRABAJO # 11 PARA QUIMICA GRADO 11°</w:t>
      </w:r>
    </w:p>
    <w:p>
      <w:pPr>
        <w:pStyle w:val="Normal"/>
        <w:spacing w:lineRule="auto" w:line="240" w:before="0" w:after="0"/>
        <w:jc w:val="center"/>
        <w:rPr>
          <w:rFonts w:eastAsia="Calibri" w:cs="Times New Roman" w:ascii="Times New Roman" w:hAnsi="Times New Roman"/>
          <w:b/>
          <w:lang w:val="es-ES" w:eastAsia="es-ES"/>
        </w:rPr>
      </w:pPr>
      <w:r>
        <w:rPr>
          <w:rFonts w:eastAsia="Calibri" w:cs="Times New Roman" w:ascii="Times New Roman" w:hAnsi="Times New Roman"/>
          <w:b/>
          <w:lang w:val="es-ES" w:eastAsia="es-ES"/>
        </w:rPr>
      </w:r>
    </w:p>
    <w:p>
      <w:pPr>
        <w:pStyle w:val="Normal"/>
        <w:spacing w:lineRule="auto" w:line="240" w:before="0" w:after="0"/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  <w:t>TEMA: ACIDOS CARBOXILICOS</w:t>
      </w:r>
    </w:p>
    <w:p>
      <w:pPr>
        <w:pStyle w:val="Normal"/>
        <w:spacing w:lineRule="auto" w:line="240" w:before="0" w:after="0"/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  <w:t>DOCENTE: LIC. ARLANDY MENDOZA</w:t>
      </w:r>
    </w:p>
    <w:p>
      <w:pPr>
        <w:pStyle w:val="Normal"/>
        <w:spacing w:lineRule="auto" w:line="240" w:before="0" w:after="0"/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  <w:t>FECHA: 13/08/18  A  18/08/18           NOMBRE___________________________________________GRADO_____ N°____</w:t>
      </w:r>
    </w:p>
    <w:p>
      <w:pPr>
        <w:pStyle w:val="Normal"/>
        <w:spacing w:lineRule="auto" w:line="240" w:before="0" w:after="0"/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es-ES" w:eastAsia="es-ES"/>
        </w:rPr>
        <w:t>INDICADORES DE DESEMPEÑO:</w:t>
      </w:r>
    </w:p>
    <w:p>
      <w:pPr>
        <w:pStyle w:val="NoSpacing"/>
        <w:numPr>
          <w:ilvl w:val="0"/>
          <w:numId w:val="4"/>
        </w:numPr>
        <w:rPr>
          <w:rFonts w:eastAsia="Times New Roman" w:cs="Times New Roman" w:ascii="Times New Roman" w:hAnsi="Times New Roman"/>
          <w:i/>
          <w:color w:val="000000"/>
        </w:rPr>
      </w:pPr>
      <w:r>
        <w:rPr>
          <w:rFonts w:eastAsia="Times New Roman" w:cs="Times New Roman" w:ascii="Times New Roman" w:hAnsi="Times New Roman"/>
          <w:i/>
          <w:color w:val="000000"/>
        </w:rPr>
        <w:t>Reconoce la nomenclatura IUPAC, las propiedades físicas y químicas de los Ácidos Carboxílicos</w:t>
      </w:r>
    </w:p>
    <w:p>
      <w:pPr>
        <w:pStyle w:val="NoSpacing"/>
        <w:jc w:val="center"/>
        <w:rPr>
          <w:rFonts w:cs="Times New Roman" w:ascii="Times New Roman" w:hAnsi="Times New Roman"/>
          <w:b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ACIDOS CARBOXILICOS</w:t>
      </w:r>
    </w:p>
    <w:p>
      <w:pPr>
        <w:pStyle w:val="NoSpacing"/>
        <w:rPr>
          <w:rFonts w:cs="Arial" w:ascii="Arial" w:hAnsi="Arial"/>
          <w:lang w:val="en-US"/>
        </w:rPr>
      </w:pPr>
      <w:r>
        <w:rPr>
          <w:rFonts w:cs="Arial" w:ascii="Arial" w:hAnsi="Arial"/>
          <w:lang w:val="en-US"/>
        </w:rPr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81915</wp:posOffset>
            </wp:positionH>
            <wp:positionV relativeFrom="paragraph">
              <wp:posOffset>100965</wp:posOffset>
            </wp:positionV>
            <wp:extent cx="5400675" cy="3025140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>
          <w:lang w:val="en-US"/>
        </w:rPr>
      </w:pPr>
      <w:r>
        <w:rPr>
          <w:lang w:val="en-US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0"/>
      </w:tblGrid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cs="Times New Roman"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val="en-US"/>
              </w:rPr>
              <w:t>NOMENCLATURA:</w:t>
            </w:r>
          </w:p>
        </w:tc>
      </w:tr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numPr>
                <w:ilvl w:val="0"/>
                <w:numId w:val="1"/>
              </w:numPr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t xml:space="preserve">En el sistema IUPAC, el nombre para ácidos carboxílicos se forma utilizando la palabra genérica </w:t>
            </w:r>
            <w:r>
              <w:rPr>
                <w:rFonts w:cs="Times New Roman" w:ascii="Times New Roman" w:hAnsi="Times New Roman"/>
                <w:b/>
                <w:i/>
                <w:lang w:val="en-US"/>
              </w:rPr>
              <w:t>ácido</w:t>
            </w:r>
            <w:r>
              <w:rPr>
                <w:rFonts w:cs="Times New Roman" w:ascii="Times New Roman" w:hAnsi="Times New Roman"/>
                <w:i/>
                <w:lang w:val="en-US"/>
              </w:rPr>
              <w:t xml:space="preserve"> y el sufijo </w:t>
            </w:r>
            <w:r>
              <w:rPr>
                <w:rFonts w:cs="Times New Roman" w:ascii="Times New Roman" w:hAnsi="Times New Roman"/>
                <w:b/>
                <w:i/>
                <w:lang w:val="en-US"/>
              </w:rPr>
              <w:t>oico</w:t>
            </w:r>
            <w:r>
              <w:rPr>
                <w:rFonts w:cs="Times New Roman" w:ascii="Times New Roman" w:hAnsi="Times New Roman"/>
                <w:i/>
                <w:lang w:val="en-US"/>
              </w:rPr>
              <w:t xml:space="preserve">, el cual se le antepone la raíz que signifique el número de carbonos. </w:t>
            </w:r>
          </w:p>
        </w:tc>
      </w:tr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numPr>
                <w:ilvl w:val="0"/>
                <w:numId w:val="1"/>
              </w:numPr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t xml:space="preserve">Para compuestos ramificados el carbono del grupo carboxilo es el número uno y debe quedar en la cadena principal; los grupos sustituyentes sobre la cadena se localizan por números. </w:t>
            </w:r>
          </w:p>
        </w:tc>
      </w:tr>
      <w:tr>
        <w:trPr>
          <w:trHeight w:val="2437" w:hRule="atLeast"/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numPr>
                <w:ilvl w:val="0"/>
                <w:numId w:val="1"/>
              </w:numPr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t>Los ácidos aromáticos se nombran como derivados del ácido benzoico o del hidrocarburo aromático correspondiente.</w:t>
            </w:r>
          </w:p>
          <w:p>
            <w:pPr>
              <w:pStyle w:val="NoSpacing"/>
              <w:spacing w:before="0" w:after="0"/>
              <w:ind w:left="720" w:right="0" w:hanging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drawing>
                <wp:anchor behindDoc="1" distT="0" distB="0" distL="114300" distR="114300" simplePos="0" locked="0" layoutInCell="1" allowOverlap="1" relativeHeight="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19685</wp:posOffset>
                  </wp:positionV>
                  <wp:extent cx="3714750" cy="382270"/>
                  <wp:effectExtent l="0" t="0" r="0" b="0"/>
                  <wp:wrapNone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Spacing"/>
              <w:spacing w:before="0" w:after="0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drawing>
                <wp:anchor behindDoc="1" distT="0" distB="0" distL="114300" distR="114300" simplePos="0" locked="0" layoutInCell="1" allowOverlap="1" relativeHeight="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33020</wp:posOffset>
                  </wp:positionV>
                  <wp:extent cx="3648075" cy="715010"/>
                  <wp:effectExtent l="0" t="0" r="0" b="0"/>
                  <wp:wrapNone/>
                  <wp:docPr id="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847" w:hRule="atLeast"/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t>Sin embargo, la mayoría de los ácidos carboxílicos son más conocidos por sus nombres comunes, que indica por lo general la fuente de donde proviene: ácido fórmico (del latín formica: hormiga), acético (del latín acetum: vinagre), butírico (del latín butyrum: mantequilla).</w:t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drawing>
                <wp:anchor behindDoc="1" distT="0" distB="0" distL="114300" distR="114300" simplePos="0" locked="0" layoutInCell="1" allowOverlap="1" relativeHeight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10160</wp:posOffset>
                  </wp:positionV>
                  <wp:extent cx="4162425" cy="1501775"/>
                  <wp:effectExtent l="0" t="0" r="0" b="0"/>
                  <wp:wrapNone/>
                  <wp:docPr id="3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50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  <w:drawing>
                <wp:anchor behindDoc="1" distT="0" distB="0" distL="114300" distR="114300" simplePos="0" locked="0" layoutInCell="1" allowOverlap="1" relativeHeight="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27940</wp:posOffset>
                  </wp:positionV>
                  <wp:extent cx="4914900" cy="1050290"/>
                  <wp:effectExtent l="0" t="0" r="0" b="0"/>
                  <wp:wrapNone/>
                  <wp:docPr id="4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cs="Times New Roman" w:ascii="Times New Roman" w:hAnsi="Times New Roman"/>
                <w:i/>
                <w:lang w:val="en-US"/>
              </w:rPr>
            </w:pPr>
            <w:r>
              <w:rPr>
                <w:rFonts w:cs="Times New Roman" w:ascii="Times New Roman" w:hAnsi="Times New Roman"/>
                <w:i/>
                <w:lang w:val="en-US"/>
              </w:rPr>
            </w:r>
          </w:p>
        </w:tc>
      </w:tr>
    </w:tbl>
    <w:p>
      <w:pPr>
        <w:pStyle w:val="NoSpacing"/>
        <w:rPr>
          <w:lang w:val="en-US"/>
        </w:rPr>
      </w:pPr>
      <w:r>
        <w:rPr>
          <w:lang w:val="en-US"/>
        </w:rPr>
      </w:r>
    </w:p>
    <w:tbl>
      <w:tblPr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0"/>
      </w:tblGrid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eastAsia="Times New Roman" w:cs="Times New Roman" w:ascii="Times New Roman" w:hAnsi="Times New Roman"/>
                <w:b/>
                <w:i/>
                <w:sz w:val="24"/>
                <w:szCs w:val="24"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24"/>
                <w:szCs w:val="24"/>
                <w:lang w:val="es-ES" w:eastAsia="es-ES"/>
              </w:rPr>
              <w:t>PROPIEDADES QUIMICAS DE LOS ÁCIDOS CARBOXILICOS:</w:t>
            </w:r>
          </w:p>
        </w:tc>
      </w:tr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La presencia del grupo carboxilo determina que los ácidos orgánicos sean medianamente reactivos. Dos de las principales reacciones de este grupo de compuestos son la formación de sales y la esterificación.</w:t>
            </w:r>
          </w:p>
        </w:tc>
      </w:tr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numPr>
                <w:ilvl w:val="0"/>
                <w:numId w:val="2"/>
              </w:numPr>
              <w:spacing w:before="0" w:after="0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lang w:val="es-ES" w:eastAsia="es-ES"/>
              </w:rPr>
              <w:t>FORMAC</w:t>
            </w:r>
            <w:bookmarkStart w:id="0" w:name="_GoBack"/>
            <w:bookmarkEnd w:id="0"/>
            <w:r>
              <w:rPr>
                <w:rFonts w:eastAsia="Times New Roman" w:cs="Times New Roman" w:ascii="Times New Roman" w:hAnsi="Times New Roman"/>
                <w:b/>
                <w:i/>
                <w:lang w:val="es-ES" w:eastAsia="es-ES"/>
              </w:rPr>
              <w:t>IÓN DE SALES</w:t>
            </w: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:</w:t>
            </w:r>
          </w:p>
        </w:tc>
      </w:tr>
      <w:tr>
        <w:trPr>
          <w:trHeight w:val="1782" w:hRule="atLeast"/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Al igual que todos los ácidos, los ácidos orgánicos reaccionan con las bases para producir sales y agua.</w:t>
              <w:drawing>
                <wp:anchor behindDoc="1" distT="0" distB="0" distL="114300" distR="114300" simplePos="0" locked="0" layoutInCell="1" allowOverlap="1" relativeHeight="8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139700</wp:posOffset>
                  </wp:positionV>
                  <wp:extent cx="2886075" cy="987425"/>
                  <wp:effectExtent l="0" t="0" r="0" b="0"/>
                  <wp:wrapNone/>
                  <wp:docPr id="5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87" w:hRule="atLeast"/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Ejemplo:</w:t>
              <w:drawing>
                <wp:anchor behindDoc="1" distT="0" distB="0" distL="114300" distR="114300" simplePos="0" locked="0" layoutInCell="1" allowOverlap="1" relativeHeight="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40005</wp:posOffset>
                  </wp:positionV>
                  <wp:extent cx="4295775" cy="1573530"/>
                  <wp:effectExtent l="0" t="0" r="0" b="0"/>
                  <wp:wrapNone/>
                  <wp:docPr id="6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numPr>
                <w:ilvl w:val="0"/>
                <w:numId w:val="2"/>
              </w:numPr>
              <w:spacing w:before="0" w:after="0"/>
              <w:rPr>
                <w:rFonts w:eastAsia="Times New Roman" w:cs="Times New Roman" w:ascii="Times New Roman" w:hAnsi="Times New Roman"/>
                <w:b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lang w:val="es-ES" w:eastAsia="es-ES"/>
              </w:rPr>
              <w:t>ESTERIFICACIÓN:</w:t>
            </w:r>
          </w:p>
        </w:tc>
      </w:tr>
      <w:tr>
        <w:trPr>
          <w:trHeight w:val="3707" w:hRule="atLeast"/>
          <w:cantSplit w:val="false"/>
        </w:trPr>
        <w:tc>
          <w:tcPr>
            <w:tcW w:w="8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Los ácidos carboxílicos reaccionan con los alcoholes en presencia de un ácido fuerte como  HCl o H</w:t>
            </w:r>
            <w:r>
              <w:rPr>
                <w:rFonts w:eastAsia="Times New Roman" w:cs="Times New Roman" w:ascii="Times New Roman" w:hAnsi="Times New Roman"/>
                <w:i/>
                <w:vertAlign w:val="subscript"/>
                <w:lang w:val="es-ES" w:eastAsia="es-ES"/>
              </w:rPr>
              <w:t>2</w:t>
            </w: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SO</w:t>
            </w:r>
            <w:r>
              <w:rPr>
                <w:rFonts w:eastAsia="Times New Roman" w:cs="Times New Roman" w:ascii="Times New Roman" w:hAnsi="Times New Roman"/>
                <w:i/>
                <w:vertAlign w:val="subscript"/>
                <w:lang w:val="es-ES" w:eastAsia="es-ES"/>
              </w:rPr>
              <w:t>4</w:t>
            </w: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, originando un éster más agua.</w:t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drawing>
                <wp:anchor behindDoc="1" distT="0" distB="0" distL="114300" distR="114300" simplePos="0" locked="0" layoutInCell="1" allowOverlap="1" relativeHeight="3">
                  <wp:simplePos x="0" y="0"/>
                  <wp:positionH relativeFrom="column">
                    <wp:posOffset>1729740</wp:posOffset>
                  </wp:positionH>
                  <wp:positionV relativeFrom="paragraph">
                    <wp:posOffset>-7620</wp:posOffset>
                  </wp:positionV>
                  <wp:extent cx="2981325" cy="713105"/>
                  <wp:effectExtent l="0" t="0" r="0" b="0"/>
                  <wp:wrapNone/>
                  <wp:docPr id="7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  <w:t>Ejemplo:</w:t>
              <w:drawing>
                <wp:anchor behindDoc="1" distT="0" distB="0" distL="114300" distR="114300" simplePos="0" locked="0" layoutInCell="1" allowOverlap="1" relativeHeight="10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62865</wp:posOffset>
                  </wp:positionV>
                  <wp:extent cx="4714875" cy="1248410"/>
                  <wp:effectExtent l="0" t="0" r="0" b="0"/>
                  <wp:wrapNone/>
                  <wp:docPr id="8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  <w:p>
            <w:pPr>
              <w:pStyle w:val="NoSpacing"/>
              <w:spacing w:before="0" w:after="0"/>
              <w:jc w:val="both"/>
              <w:rPr>
                <w:rFonts w:eastAsia="Times New Roman" w:cs="Times New Roman" w:ascii="Times New Roman" w:hAnsi="Times New Roman"/>
                <w:i/>
                <w:lang w:val="es-ES" w:eastAsia="es-ES"/>
              </w:rPr>
            </w:pPr>
            <w:r>
              <w:rPr>
                <w:rFonts w:eastAsia="Times New Roman" w:cs="Times New Roman" w:ascii="Times New Roman" w:hAnsi="Times New Roman"/>
                <w:i/>
                <w:lang w:val="es-ES" w:eastAsia="es-ES"/>
              </w:rPr>
            </w:r>
          </w:p>
        </w:tc>
      </w:tr>
    </w:tbl>
    <w:p>
      <w:pPr>
        <w:pStyle w:val="NoSpacing"/>
        <w:rPr>
          <w:rFonts w:eastAsia="Times New Roman" w:cs="Times New Roman" w:ascii="Times New Roman" w:hAnsi="Times New Roman"/>
          <w:b/>
          <w:i/>
          <w:lang w:val="es-ES" w:eastAsia="es-ES"/>
        </w:rPr>
      </w:pPr>
      <w:r>
        <w:rPr>
          <w:rFonts w:eastAsia="Times New Roman" w:cs="Times New Roman" w:ascii="Times New Roman" w:hAnsi="Times New Roman"/>
          <w:b/>
          <w:i/>
          <w:lang w:val="es-ES" w:eastAsia="es-ES"/>
        </w:rPr>
        <w:t xml:space="preserve">ACTIVIDAD: </w:t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872490</wp:posOffset>
            </wp:positionH>
            <wp:positionV relativeFrom="paragraph">
              <wp:posOffset>10160</wp:posOffset>
            </wp:positionV>
            <wp:extent cx="390525" cy="339725"/>
            <wp:effectExtent l="0" t="0" r="0" b="0"/>
            <wp:wrapNone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eastAsia="Times New Roman" w:cs="Times New Roman" w:ascii="Times New Roman" w:hAnsi="Times New Roman"/>
          <w:b/>
          <w:i/>
          <w:lang w:val="es-ES" w:eastAsia="es-ES"/>
        </w:rPr>
      </w:pPr>
      <w:r>
        <w:rPr>
          <w:rFonts w:eastAsia="Times New Roman" w:cs="Times New Roman" w:ascii="Times New Roman" w:hAnsi="Times New Roman"/>
          <w:b/>
          <w:i/>
          <w:lang w:val="es-ES" w:eastAsia="es-ES"/>
        </w:rPr>
      </w:r>
    </w:p>
    <w:p>
      <w:pPr>
        <w:pStyle w:val="NoSpacing"/>
        <w:numPr>
          <w:ilvl w:val="0"/>
          <w:numId w:val="3"/>
        </w:numPr>
        <w:rPr>
          <w:rFonts w:eastAsia="Times New Roman" w:cs="Times New Roman" w:ascii="Times New Roman" w:hAnsi="Times New Roman"/>
          <w:i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Indaga según el material bibliográfico recomendado por tu profesor:</w:t>
      </w:r>
    </w:p>
    <w:p>
      <w:pPr>
        <w:pStyle w:val="NoSpacing"/>
        <w:numPr>
          <w:ilvl w:val="0"/>
          <w:numId w:val="2"/>
        </w:numPr>
        <w:rPr>
          <w:rFonts w:eastAsia="Times New Roman" w:cs="Times New Roman" w:ascii="Times New Roman" w:hAnsi="Times New Roman"/>
          <w:i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La síntesis de los ácidos carboxílicos.</w:t>
      </w:r>
    </w:p>
    <w:p>
      <w:pPr>
        <w:pStyle w:val="NoSpacing"/>
        <w:numPr>
          <w:ilvl w:val="0"/>
          <w:numId w:val="2"/>
        </w:numPr>
        <w:rPr>
          <w:rFonts w:eastAsia="Times New Roman" w:cs="Times New Roman" w:ascii="Times New Roman" w:hAnsi="Times New Roman"/>
          <w:i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¿Cuáles son las propiedades físicas de los ácidos carboxílicos.</w:t>
      </w:r>
    </w:p>
    <w:p>
      <w:pPr>
        <w:pStyle w:val="NoSpacing"/>
        <w:numPr>
          <w:ilvl w:val="0"/>
          <w:numId w:val="2"/>
        </w:numPr>
        <w:rPr>
          <w:rFonts w:eastAsia="Times New Roman" w:cs="Times New Roman" w:ascii="Times New Roman" w:hAnsi="Times New Roman"/>
          <w:i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¿Cuál es el ácido carboxílico más importante comercialmente y por qué?</w:t>
      </w:r>
    </w:p>
    <w:p>
      <w:pPr>
        <w:pStyle w:val="NoSpacing"/>
        <w:numPr>
          <w:ilvl w:val="0"/>
          <w:numId w:val="3"/>
        </w:numPr>
        <w:rPr>
          <w:rFonts w:eastAsia="Times New Roman" w:cs="Times New Roman" w:ascii="Times New Roman" w:hAnsi="Times New Roman"/>
          <w:i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Dibuja la estructura molecular del Ácido propanoico-ácido láctico-ácido etanodioico.</w:t>
      </w:r>
    </w:p>
    <w:p>
      <w:pPr>
        <w:pStyle w:val="NoSpacing"/>
        <w:numPr>
          <w:ilvl w:val="0"/>
          <w:numId w:val="3"/>
        </w:numPr>
        <w:rPr>
          <w:rFonts w:eastAsia="Times New Roman" w:cs="Arial" w:ascii="Arial" w:hAnsi="Arial"/>
          <w:lang w:val="es-ES" w:eastAsia="es-ES"/>
        </w:rPr>
      </w:pPr>
      <w:r>
        <w:rPr>
          <w:rFonts w:eastAsia="Times New Roman" w:cs="Times New Roman" w:ascii="Times New Roman" w:hAnsi="Times New Roman"/>
          <w:i/>
          <w:lang w:val="es-ES" w:eastAsia="es-ES"/>
        </w:rPr>
        <w:t>Dé el nombre a los siguientes compuestos</w:t>
      </w:r>
      <w:r>
        <w:rPr>
          <w:rFonts w:eastAsia="Times New Roman" w:cs="Arial" w:ascii="Arial" w:hAnsi="Arial"/>
          <w:lang w:val="es-ES" w:eastAsia="es-ES"/>
        </w:rPr>
        <w:t>:</w:t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1729740</wp:posOffset>
            </wp:positionH>
            <wp:positionV relativeFrom="paragraph">
              <wp:posOffset>66675</wp:posOffset>
            </wp:positionV>
            <wp:extent cx="3476625" cy="671830"/>
            <wp:effectExtent l="0" t="0" r="0" b="0"/>
            <wp:wrapNone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eastAsia="Times New Roman" w:cs="Arial" w:ascii="Arial" w:hAnsi="Arial"/>
          <w:b/>
          <w:lang w:val="es-ES" w:eastAsia="es-ES"/>
        </w:rPr>
      </w:pPr>
      <w:r>
        <w:rPr>
          <w:rFonts w:eastAsia="Times New Roman" w:cs="Arial" w:ascii="Arial" w:hAnsi="Arial"/>
          <w:b/>
          <w:lang w:val="es-ES" w:eastAsia="es-ES"/>
        </w:rPr>
      </w:r>
    </w:p>
    <w:p>
      <w:pPr>
        <w:pStyle w:val="NoSpacing"/>
        <w:rPr>
          <w:rFonts w:eastAsia="Times New Roman" w:cs="Arial" w:ascii="Arial" w:hAnsi="Arial"/>
          <w:b/>
          <w:lang w:val="es-ES" w:eastAsia="es-ES"/>
        </w:rPr>
      </w:pPr>
      <w:r>
        <w:rPr>
          <w:rFonts w:eastAsia="Times New Roman" w:cs="Arial" w:ascii="Arial" w:hAnsi="Arial"/>
          <w:b/>
          <w:lang w:val="es-ES" w:eastAsia="es-ES"/>
        </w:rPr>
      </w:r>
    </w:p>
    <w:p>
      <w:pPr>
        <w:pStyle w:val="NoSpacing"/>
        <w:rPr>
          <w:rFonts w:eastAsia="Times New Roman" w:cs="Arial" w:ascii="Arial" w:hAnsi="Arial"/>
          <w:b/>
          <w:lang w:val="es-ES" w:eastAsia="es-ES"/>
        </w:rPr>
      </w:pPr>
      <w:r>
        <w:rPr>
          <w:rFonts w:eastAsia="Times New Roman" w:cs="Arial" w:ascii="Arial" w:hAnsi="Arial"/>
          <w:b/>
          <w:lang w:val="es-ES" w:eastAsia="es-ES"/>
        </w:rPr>
      </w:r>
    </w:p>
    <w:p>
      <w:pPr>
        <w:pStyle w:val="NoSpacing"/>
        <w:rPr/>
      </w:pPr>
      <w:r>
        <w:rPr/>
      </w:r>
    </w:p>
    <w:sectPr>
      <w:headerReference w:type="default" r:id="rId13"/>
      <w:type w:val="nextPage"/>
      <w:pgSz w:w="12240" w:h="18720"/>
      <w:pgMar w:left="1701" w:right="1701" w:header="709" w:top="1418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URW Chancery L">
    <w:charset w:val="01"/>
    <w:family w:val="auto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tabs>
        <w:tab w:val="center" w:pos="4419" w:leader="none"/>
        <w:tab w:val="right" w:pos="8838" w:leader="none"/>
      </w:tabs>
      <w:spacing w:lineRule="auto" w:line="240" w:before="0" w:after="0"/>
      <w:jc w:val="center"/>
      <w:rPr>
        <w:rFonts w:eastAsia="Times New Roman" w:cs="Times New Roman" w:ascii="URW Chancery L" w:hAnsi="URW Chancery L"/>
        <w:b/>
        <w:sz w:val="24"/>
        <w:szCs w:val="24"/>
        <w:lang w:val="es-ES" w:eastAsia="es-ES"/>
      </w:rPr>
    </w:pPr>
    <w:r>
      <w:rPr>
        <w:rFonts w:eastAsia="Times New Roman" w:cs="Times New Roman" w:ascii="URW Chancery L" w:hAnsi="URW Chancery L"/>
        <w:b/>
        <w:sz w:val="24"/>
        <w:szCs w:val="24"/>
        <w:lang w:val="es-ES" w:eastAsia="es-ES"/>
      </w:rPr>
      <w:t>IED  Escuela Normal Superior María Auxiliadora</w:t>
      <w:drawing>
        <wp:anchor behindDoc="1" distT="0" distB="0" distL="114300" distR="114300" simplePos="0" locked="0" layoutInCell="1" allowOverlap="1" relativeHeight="12">
          <wp:simplePos x="0" y="0"/>
          <wp:positionH relativeFrom="column">
            <wp:posOffset>4825365</wp:posOffset>
          </wp:positionH>
          <wp:positionV relativeFrom="paragraph">
            <wp:posOffset>-11430</wp:posOffset>
          </wp:positionV>
          <wp:extent cx="657225" cy="657225"/>
          <wp:effectExtent l="0" t="0" r="0" b="0"/>
          <wp:wrapNone/>
          <wp:docPr id="1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177165</wp:posOffset>
          </wp:positionH>
          <wp:positionV relativeFrom="paragraph">
            <wp:posOffset>-106680</wp:posOffset>
          </wp:positionV>
          <wp:extent cx="552450" cy="751205"/>
          <wp:effectExtent l="0" t="0" r="0" b="0"/>
          <wp:wrapNone/>
          <wp:docPr id="1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51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Normal"/>
      <w:tabs>
        <w:tab w:val="center" w:pos="4419" w:leader="none"/>
        <w:tab w:val="right" w:pos="8838" w:leader="none"/>
      </w:tabs>
      <w:spacing w:lineRule="auto" w:line="240" w:before="0" w:after="0"/>
      <w:jc w:val="center"/>
      <w:rPr>
        <w:rFonts w:eastAsia="Times New Roman" w:cs="Times New Roman" w:ascii="URW Chancery L" w:hAnsi="URW Chancery L"/>
        <w:b/>
        <w:sz w:val="24"/>
        <w:szCs w:val="24"/>
        <w:lang w:val="es-ES" w:eastAsia="es-ES"/>
      </w:rPr>
    </w:pPr>
    <w:r>
      <w:rPr>
        <w:rFonts w:eastAsia="Times New Roman" w:cs="Times New Roman" w:ascii="URW Chancery L" w:hAnsi="URW Chancery L"/>
        <w:b/>
        <w:sz w:val="24"/>
        <w:szCs w:val="24"/>
        <w:lang w:val="es-ES" w:eastAsia="es-ES"/>
      </w:rPr>
      <w:t>Santa Marta - 2018</w:t>
    </w:r>
  </w:p>
  <w:p>
    <w:pPr>
      <w:pStyle w:val="Normal"/>
      <w:pBdr>
        <w:top w:val="nil"/>
        <w:left w:val="nil"/>
        <w:bottom w:val="single" w:sz="12" w:space="1" w:color="00000A"/>
        <w:right w:val="nil"/>
      </w:pBdr>
      <w:tabs>
        <w:tab w:val="center" w:pos="4419" w:leader="none"/>
        <w:tab w:val="right" w:pos="8838" w:leader="none"/>
      </w:tabs>
      <w:spacing w:lineRule="auto" w:line="240" w:before="0" w:after="0"/>
      <w:jc w:val="center"/>
      <w:rPr>
        <w:rFonts w:eastAsia="Times New Roman" w:cs="Times New Roman" w:ascii="URW Chancery L" w:hAnsi="URW Chancery L"/>
        <w:b/>
        <w:sz w:val="24"/>
        <w:szCs w:val="24"/>
        <w:lang w:val="es-ES" w:eastAsia="es-ES"/>
      </w:rPr>
    </w:pPr>
    <w:r>
      <w:rPr>
        <w:rFonts w:eastAsia="Times New Roman" w:cs="Times New Roman" w:ascii="URW Chancery L" w:hAnsi="URW Chancery L"/>
        <w:b/>
        <w:sz w:val="24"/>
        <w:szCs w:val="24"/>
        <w:lang w:val="es-ES" w:eastAsia="es-ES"/>
      </w:rPr>
      <w:t>Básica Secundaria y Media Vocacional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es-CO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9c1138"/>
    <w:pPr>
      <w:widowControl/>
      <w:suppressAutoHyphens w:val="true"/>
      <w:bidi w:val="0"/>
      <w:spacing w:lineRule="auto" w:line="276" w:before="0" w:after="200"/>
      <w:jc w:val="left"/>
    </w:pPr>
    <w:rPr>
      <w:rFonts w:cs="" w:ascii="Calibri" w:hAnsi="Calibri" w:eastAsia="Droid Sans Fallback"/>
      <w:color w:val="auto"/>
      <w:sz w:val="22"/>
      <w:szCs w:val="22"/>
      <w:lang w:eastAsia="es-CO" w:val="es-CO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EncabezadoCar" w:customStyle="1">
    <w:name w:val="Encabezado Car"/>
    <w:uiPriority w:val="99"/>
    <w:link w:val="Encabezado"/>
    <w:rsid w:val="009c1138"/>
    <w:basedOn w:val="DefaultParagraphFont"/>
    <w:rPr/>
  </w:style>
  <w:style w:type="character" w:styleId="PiedepginaCar" w:customStyle="1">
    <w:name w:val="Pie de página Car"/>
    <w:uiPriority w:val="99"/>
    <w:link w:val="Piedepgina"/>
    <w:rsid w:val="009c1138"/>
    <w:basedOn w:val="DefaultParagraphFont"/>
    <w:rPr/>
  </w:style>
  <w:style w:type="character" w:styleId="TextodegloboCar" w:customStyle="1">
    <w:name w:val="Texto de globo Car"/>
    <w:uiPriority w:val="99"/>
    <w:semiHidden/>
    <w:link w:val="Textodeglobo"/>
    <w:rsid w:val="009c1138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b w:val="false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FreeSans"/>
    </w:rPr>
  </w:style>
  <w:style w:type="paragraph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FreeSans"/>
    </w:rPr>
  </w:style>
  <w:style w:type="paragraph" w:styleId="NoSpacing">
    <w:name w:val="No Spacing"/>
    <w:uiPriority w:val="1"/>
    <w:qFormat/>
    <w:rsid w:val="009c1138"/>
    <w:pPr>
      <w:widowControl/>
      <w:suppressAutoHyphens w:val="true"/>
      <w:bidi w:val="0"/>
      <w:spacing w:lineRule="auto" w:line="240" w:before="0" w:after="0"/>
      <w:jc w:val="left"/>
    </w:pPr>
    <w:rPr>
      <w:rFonts w:cs="" w:ascii="Calibri" w:hAnsi="Calibri" w:eastAsia="Droid Sans Fallback"/>
      <w:color w:val="auto"/>
      <w:sz w:val="22"/>
      <w:szCs w:val="22"/>
      <w:lang w:eastAsia="es-CO" w:val="es-CO" w:bidi="ar-SA"/>
    </w:rPr>
  </w:style>
  <w:style w:type="paragraph" w:styleId="Encabezamiento">
    <w:name w:val="Encabezamiento"/>
    <w:uiPriority w:val="99"/>
    <w:unhideWhenUsed/>
    <w:link w:val="EncabezadoCar"/>
    <w:rsid w:val="009c1138"/>
    <w:basedOn w:val="Normal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Pie de página"/>
    <w:uiPriority w:val="99"/>
    <w:unhideWhenUsed/>
    <w:link w:val="PiedepginaCar"/>
    <w:rsid w:val="009c1138"/>
    <w:basedOn w:val="Normal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xtodegloboCar"/>
    <w:rsid w:val="009c1138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9c1138"/>
    <w:pPr>
      <w:spacing w:line="240" w:after="0" w:lineRule="auto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42.png"/><Relationship Id="rId10" Type="http://schemas.openxmlformats.org/officeDocument/2006/relationships/image" Target="media/image43.png"/><Relationship Id="rId11" Type="http://schemas.openxmlformats.org/officeDocument/2006/relationships/image" Target="media/image44.png"/><Relationship Id="rId12" Type="http://schemas.openxmlformats.org/officeDocument/2006/relationships/image" Target="media/image45.png"/><Relationship Id="rId13" Type="http://schemas.openxmlformats.org/officeDocument/2006/relationships/header" Target="head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6.jpeg"/><Relationship Id="rId2" Type="http://schemas.openxmlformats.org/officeDocument/2006/relationships/image" Target="media/image47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BB7CF-3C86-45D2-8484-CCAE09C3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2018-08-04T14:47:00Z</dcterms:created>
  <dc:creator>Primaria</dc:creator>
  <dc:language>es-CO</dc:language>
  <cp:lastModifiedBy>Primaria</cp:lastModifiedBy>
  <dcterms:modified xsi:type="dcterms:W3CDTF">2018-08-04T15:06:00Z</dcterms:modified>
  <cp:revision>1</cp:revision>
</cp:coreProperties>
</file>